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Default Extension="wmf" ContentType="image/x-wmf"/>
  <Override PartName="/word/numbering.xml" ContentType="application/vnd.openxmlformats-officedocument.wordprocessingml.numbering+xml"/>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200" w:line="276"/>
        <w:ind w:right="0" w:left="0" w:firstLine="0"/>
        <w:jc w:val="center"/>
        <w:rPr>
          <w:rFonts w:ascii="Times New Roman" w:hAnsi="Times New Roman" w:cs="Times New Roman" w:eastAsia="Times New Roman"/>
          <w:color w:val="auto"/>
          <w:spacing w:val="0"/>
          <w:position w:val="0"/>
          <w:sz w:val="28"/>
          <w:shd w:fill="auto" w:val="clear"/>
        </w:rPr>
      </w:pPr>
      <w:r>
        <w:rPr>
          <w:rFonts w:ascii="Times New Roman" w:hAnsi="Times New Roman" w:cs="Times New Roman" w:eastAsia="Times New Roman"/>
          <w:color w:val="auto"/>
          <w:spacing w:val="0"/>
          <w:position w:val="0"/>
          <w:sz w:val="28"/>
          <w:shd w:fill="auto" w:val="clear"/>
        </w:rPr>
        <w:t xml:space="preserve">Neke medonosne invazivne biljke Požeške kotline </w:t>
      </w:r>
    </w:p>
    <w:p>
      <w:pPr>
        <w:spacing w:before="0" w:after="200" w:line="276"/>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Dinko Zima </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Poznavanje medonosnog bilja i njihovih staništa od velike je važnosti jer može poslužiti i za iznalaženje novih mogu</w:t>
      </w:r>
      <w:r>
        <w:rPr>
          <w:rFonts w:ascii="Times New Roman" w:hAnsi="Times New Roman" w:cs="Times New Roman" w:eastAsia="Times New Roman"/>
          <w:color w:val="auto"/>
          <w:spacing w:val="0"/>
          <w:position w:val="0"/>
          <w:sz w:val="24"/>
          <w:shd w:fill="auto" w:val="clear"/>
        </w:rPr>
        <w:t xml:space="preserve">ćnosti za iskorištavanje pčelinje paše. Bitni čimbenici za poboljšavanje pčelinje paše su sjetva poljoprivrednih medonosnih kultura, sadnja voćnih vrsta i grmolikih medonosnih kultura, podsijavanje medonosnih biljaka na livade i pašnjake, pravilno gnojenje tla, sjetva kultura koje imaju brzi rast, a medonosne su  te sadnja medonosnog drveća i grmlja na neiskorištenom zemljištu. U pčelinjoj paši većinom se pojavljuje autohtono samoniklo medonosno bilje, iako, pogotovo u novije vrijeme pčelari mogu bitno utjecajem unosom i širenjem alohtonih biljaka koje vrlo lako mogu postati invazivne na nekom području. Na području Republike Hrvatske zabilježeno je 74 invazivnih biljnih vrsta od kojih je dosta medonosnih vrsta. U Požeškoj kotlini zabilježene su 34 invazivne biljne vrste, a vrlo često su to ujedno i medonosne vrste koje je čovjek i rasprostranio iz tog razloga. </w:t>
      </w:r>
      <w:r>
        <w:rPr>
          <w:rFonts w:ascii="Times New Roman" w:hAnsi="Times New Roman" w:cs="Times New Roman" w:eastAsia="Times New Roman"/>
          <w:color w:val="auto"/>
          <w:spacing w:val="0"/>
          <w:position w:val="0"/>
          <w:sz w:val="24"/>
          <w:shd w:fill="auto" w:val="clear"/>
        </w:rPr>
        <w:t xml:space="preserve">Najpoznatija medonosna vrsta koja je ujedno i invazivna je bagrem. </w:t>
      </w:r>
      <w:r>
        <w:rPr>
          <w:rFonts w:ascii="Times New Roman" w:hAnsi="Times New Roman" w:cs="Times New Roman" w:eastAsia="Times New Roman"/>
          <w:color w:val="auto"/>
          <w:spacing w:val="0"/>
          <w:position w:val="0"/>
          <w:sz w:val="24"/>
          <w:shd w:fill="auto" w:val="clear"/>
        </w:rPr>
        <w:t xml:space="preserve">U proteklih nekoliko godina zabilježeno je naglo širenje nekih od navedenih vrsta posebice teofrastovog mračnjaka, rejnoutrije, pajasena i amorfe. Pčelari bi posebice trebali biti oprezni sa širenjem navedenih vrsta te bi trebali dobro razmisliti da li su dobrobiti ovih vrsta bitnije od čuvanja biološke raznolikosti područja na kojima im pčele obitavaju. Posebno je bitno znati prepoznati vrste na terenu te ih ne rasađivati kao medonosne ili dekorativne.</w:t>
      </w:r>
    </w:p>
    <w:p>
      <w:pPr>
        <w:spacing w:before="0" w:after="200" w:line="240"/>
        <w:ind w:right="0" w:left="0" w:firstLine="0"/>
        <w:jc w:val="left"/>
        <w:rPr>
          <w:rFonts w:ascii="Calibri" w:hAnsi="Calibri" w:cs="Calibri" w:eastAsia="Calibri"/>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Teofrastov mra</w:t>
      </w:r>
      <w:r>
        <w:rPr>
          <w:rFonts w:ascii="Times New Roman" w:hAnsi="Times New Roman" w:cs="Times New Roman" w:eastAsia="Times New Roman"/>
          <w:b/>
          <w:color w:val="auto"/>
          <w:spacing w:val="0"/>
          <w:position w:val="0"/>
          <w:sz w:val="24"/>
          <w:shd w:fill="auto" w:val="clear"/>
        </w:rPr>
        <w:t xml:space="preserve">čnjak </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Abutilon theophrasti</w:t>
      </w:r>
      <w:r>
        <w:rPr>
          <w:rFonts w:ascii="Times New Roman" w:hAnsi="Times New Roman" w:cs="Times New Roman" w:eastAsia="Times New Roman"/>
          <w:b/>
          <w:color w:val="auto"/>
          <w:spacing w:val="0"/>
          <w:position w:val="0"/>
          <w:sz w:val="24"/>
          <w:shd w:fill="auto" w:val="clear"/>
        </w:rPr>
        <w:t xml:space="preserve"> Medik., sl.1.)</w:t>
      </w:r>
    </w:p>
    <w:p>
      <w:pPr>
        <w:spacing w:before="0" w:after="200" w:line="240"/>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U proteklih godina je zabilježen vrlo nagli porast broja jedinki ove vrste u požeštini. To je j</w:t>
      </w:r>
      <w:r>
        <w:rPr>
          <w:rFonts w:ascii="Times New Roman" w:hAnsi="Times New Roman" w:cs="Times New Roman" w:eastAsia="Times New Roman"/>
          <w:color w:val="000000"/>
          <w:spacing w:val="0"/>
          <w:position w:val="0"/>
          <w:sz w:val="24"/>
          <w:shd w:fill="auto" w:val="clear"/>
        </w:rPr>
        <w:t xml:space="preserve">ednogodišnja biljka visine 50 – 150 cm. Stabljika je obrasla gustim, bjeli</w:t>
      </w:r>
      <w:r>
        <w:rPr>
          <w:rFonts w:ascii="Times New Roman" w:hAnsi="Times New Roman" w:cs="Times New Roman" w:eastAsia="Times New Roman"/>
          <w:color w:val="000000"/>
          <w:spacing w:val="0"/>
          <w:position w:val="0"/>
          <w:sz w:val="24"/>
          <w:shd w:fill="auto" w:val="clear"/>
        </w:rPr>
        <w:t xml:space="preserve">častim, žljezdastim dlakama. Listovi su srcolikog oblika, pustenasti i s dugačkim peteljkama. Cvjetovi su pojedinačni, žutih latica te složeni u štitaste cvatove. Plod je dlakav tobolac.  Biljka može proizvesti preko 800-1800 sjemenki čija je klijavost preko 50 godina.  Raste u okopavinama na oranicama i na ruderalnim staništima. Porijeklom je iz Kine i Tibeta. </w:t>
      </w:r>
      <w:r>
        <w:rPr>
          <w:rFonts w:ascii="Times New Roman" w:hAnsi="Times New Roman" w:cs="Times New Roman" w:eastAsia="Times New Roman"/>
          <w:color w:val="auto"/>
          <w:spacing w:val="0"/>
          <w:position w:val="0"/>
          <w:sz w:val="24"/>
          <w:shd w:fill="auto" w:val="clear"/>
        </w:rPr>
        <w:t xml:space="preserve">Može se kultivirati kao tekstilna biljka, a sjemenke se mogu upotrijebiti u tehničke svrhe zbog sadržaja masnih ulja.</w:t>
      </w:r>
    </w:p>
    <w:p>
      <w:pPr>
        <w:spacing w:before="0" w:after="200" w:line="240"/>
        <w:ind w:right="-20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Rejnoutrija</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Reynoutria japonica</w:t>
      </w:r>
      <w:r>
        <w:rPr>
          <w:rFonts w:ascii="Times New Roman" w:hAnsi="Times New Roman" w:cs="Times New Roman" w:eastAsia="Times New Roman"/>
          <w:b/>
          <w:color w:val="auto"/>
          <w:spacing w:val="0"/>
          <w:position w:val="0"/>
          <w:sz w:val="24"/>
          <w:shd w:fill="auto" w:val="clear"/>
        </w:rPr>
        <w:t xml:space="preserve"> Houtt., sl. 2.) </w:t>
      </w:r>
    </w:p>
    <w:p>
      <w:pPr>
        <w:spacing w:before="0" w:after="200" w:line="276"/>
        <w:ind w:right="0" w:left="0" w:firstLine="0"/>
        <w:jc w:val="both"/>
        <w:rPr>
          <w:rFonts w:ascii="Calibri" w:hAnsi="Calibri" w:cs="Calibri" w:eastAsia="Calibri"/>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Višegodišnja biljka s  razgranjenim, puzavim podankom. Stabljike su brojne, uspravne i jednogodišnje, a mogu biti i do 3 m visine. </w:t>
      </w:r>
      <w:r>
        <w:rPr>
          <w:rFonts w:ascii="Times New Roman" w:hAnsi="Times New Roman" w:cs="Times New Roman" w:eastAsia="Times New Roman"/>
          <w:color w:val="000000"/>
          <w:spacing w:val="0"/>
          <w:position w:val="0"/>
          <w:sz w:val="24"/>
          <w:shd w:fill="auto" w:val="clear"/>
        </w:rPr>
        <w:t xml:space="preserve">Cvjetovi su kremasto bijele boje i jednospolni, skupljeni u cvatove u obliku rahlih metlica dužine 8-12 cm. Cvatovi su sastavljeni od čuperaka koji sadrže 8-12 cvjetova. </w:t>
      </w:r>
      <w:r>
        <w:rPr>
          <w:rFonts w:ascii="Times New Roman" w:hAnsi="Times New Roman" w:cs="Times New Roman" w:eastAsia="Times New Roman"/>
          <w:color w:val="auto"/>
          <w:spacing w:val="0"/>
          <w:position w:val="0"/>
          <w:sz w:val="24"/>
          <w:shd w:fill="auto" w:val="clear"/>
        </w:rPr>
        <w:t xml:space="preserve">Biljka se razmnožava spolno i vegetativno te po biljci stvara veliki broj sjemenki. </w:t>
      </w:r>
      <w:r>
        <w:rPr>
          <w:rFonts w:ascii="Times New Roman" w:hAnsi="Times New Roman" w:cs="Times New Roman" w:eastAsia="Times New Roman"/>
          <w:color w:val="000000"/>
          <w:spacing w:val="0"/>
          <w:position w:val="0"/>
          <w:sz w:val="24"/>
          <w:shd w:fill="auto" w:val="clear"/>
        </w:rPr>
        <w:t xml:space="preserve">Često je nalazimo uz rubove putova, šuma, močvara, rijeka, potoka i kanala, te na utjecanim staništima. Porijeklom je iz Japana. </w:t>
      </w:r>
      <w:r>
        <w:rPr>
          <w:rFonts w:ascii="Times New Roman" w:hAnsi="Times New Roman" w:cs="Times New Roman" w:eastAsia="Times New Roman"/>
          <w:color w:val="auto"/>
          <w:spacing w:val="0"/>
          <w:position w:val="0"/>
          <w:sz w:val="24"/>
          <w:shd w:fill="auto" w:val="clear"/>
        </w:rPr>
        <w:t xml:space="preserve">Biljka je na popisu 100 najčešćih invazivnih biljnih vrsta u svijetu. U proljeće se mlade stabljike mogu koristiti kao povrće. Zbog lijepih cvjetova uzgaja se u vrtovima i parkovima. Odlična je medonosna biljka koja daje pelud i nektar. </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Pajasen, boga</w:t>
      </w:r>
      <w:r>
        <w:rPr>
          <w:rFonts w:ascii="Times New Roman" w:hAnsi="Times New Roman" w:cs="Times New Roman" w:eastAsia="Times New Roman"/>
          <w:b/>
          <w:color w:val="auto"/>
          <w:spacing w:val="0"/>
          <w:position w:val="0"/>
          <w:sz w:val="24"/>
          <w:shd w:fill="auto" w:val="clear"/>
        </w:rPr>
        <w:t xml:space="preserve">č, rajsko stablo</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Ailanthus altissima</w:t>
      </w:r>
      <w:r>
        <w:rPr>
          <w:rFonts w:ascii="Times New Roman" w:hAnsi="Times New Roman" w:cs="Times New Roman" w:eastAsia="Times New Roman"/>
          <w:b/>
          <w:color w:val="auto"/>
          <w:spacing w:val="0"/>
          <w:position w:val="0"/>
          <w:sz w:val="24"/>
          <w:shd w:fill="auto" w:val="clear"/>
        </w:rPr>
        <w:t xml:space="preserve"> (Mill.) Swingle, sl. 3.)</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Razgranata, listopadna, brzorastu</w:t>
      </w:r>
      <w:r>
        <w:rPr>
          <w:rFonts w:ascii="Times New Roman" w:hAnsi="Times New Roman" w:cs="Times New Roman" w:eastAsia="Times New Roman"/>
          <w:color w:val="000000"/>
          <w:spacing w:val="0"/>
          <w:position w:val="0"/>
          <w:sz w:val="24"/>
          <w:shd w:fill="auto" w:val="clear"/>
        </w:rPr>
        <w:t xml:space="preserve">ća listopadna biljka, visoka do 30 m. Ima neparno peraste listove bez palistića, raspoređene izmjenično. Listovi su dugi do 75 cm i sastavljeni od liski. Cvjetovi su sitni i neugledni, skupljeni u metličaste cvatove, žućkaste boje. Biljka je dvodomna. Razmnožava i vegetativno i sjemenom te proizvodi preko 1000 sjemenki  koje se rasprostranjuju vjetrom. Uspijeva na dobro osvijetljenim, termofilnim staništima. Podrijetlom je iz sjeverne Kine. </w:t>
      </w:r>
      <w:r>
        <w:rPr>
          <w:rFonts w:ascii="Times New Roman" w:hAnsi="Times New Roman" w:cs="Times New Roman" w:eastAsia="Times New Roman"/>
          <w:color w:val="auto"/>
          <w:spacing w:val="0"/>
          <w:position w:val="0"/>
          <w:sz w:val="24"/>
          <w:shd w:fill="auto" w:val="clear"/>
        </w:rPr>
        <w:t xml:space="preserve">U kori i listovima se nalaze otrovni spojevi koji su alergeni te mogu uzrokovati iritaciju kože, a ako se akumuliraju u tlu otrovni inhibiraju rast drugih vrsta.</w:t>
      </w:r>
      <w:r>
        <w:rPr>
          <w:rFonts w:ascii="Times New Roman" w:hAnsi="Times New Roman" w:cs="Times New Roman" w:eastAsia="Times New Roman"/>
          <w:i/>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Daje dosta nektara i cvjetnog praha. Med je tamne boje i izrazito aromatičan.</w: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Amorfa, </w:t>
      </w:r>
      <w:r>
        <w:rPr>
          <w:rFonts w:ascii="Times New Roman" w:hAnsi="Times New Roman" w:cs="Times New Roman" w:eastAsia="Times New Roman"/>
          <w:b/>
          <w:color w:val="auto"/>
          <w:spacing w:val="0"/>
          <w:position w:val="0"/>
          <w:sz w:val="24"/>
          <w:shd w:fill="auto" w:val="clear"/>
        </w:rPr>
        <w:t xml:space="preserve">čivitnjača</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Amorpha fruticosa </w:t>
      </w:r>
      <w:r>
        <w:rPr>
          <w:rFonts w:ascii="Times New Roman" w:hAnsi="Times New Roman" w:cs="Times New Roman" w:eastAsia="Times New Roman"/>
          <w:b/>
          <w:color w:val="auto"/>
          <w:spacing w:val="0"/>
          <w:position w:val="0"/>
          <w:sz w:val="24"/>
          <w:shd w:fill="auto" w:val="clear"/>
        </w:rPr>
        <w:t xml:space="preserve">L., sl. 4.)</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Biljka koja se u požeštini sve više širi uz vodooke, posebice Orljavu. To je l</w:t>
      </w:r>
      <w:r>
        <w:rPr>
          <w:rFonts w:ascii="Times New Roman" w:hAnsi="Times New Roman" w:cs="Times New Roman" w:eastAsia="Times New Roman"/>
          <w:color w:val="000000"/>
          <w:spacing w:val="0"/>
          <w:position w:val="0"/>
          <w:sz w:val="24"/>
          <w:shd w:fill="auto" w:val="clear"/>
        </w:rPr>
        <w:t xml:space="preserve">istopadni grm visine 1-2 m (ponekad i do 6 m). Iz cvijeta viri 10 uspravnih prašnika žuto naran</w:t>
      </w:r>
      <w:r>
        <w:rPr>
          <w:rFonts w:ascii="Times New Roman" w:hAnsi="Times New Roman" w:cs="Times New Roman" w:eastAsia="Times New Roman"/>
          <w:color w:val="000000"/>
          <w:spacing w:val="0"/>
          <w:position w:val="0"/>
          <w:sz w:val="24"/>
          <w:shd w:fill="auto" w:val="clear"/>
        </w:rPr>
        <w:t xml:space="preserve">časte boje. Cvjetovi su, vrlo dekorativni, skupljeni u metlice tamnoljubičaste boje, koje su uspravne, guste, 10 – 15 cm duge. Biljka je vrlo tolerantna u stresnim uvjetima  </w:t>
      </w:r>
      <w:r>
        <w:rPr>
          <w:rFonts w:ascii="Times New Roman" w:hAnsi="Times New Roman" w:cs="Times New Roman" w:eastAsia="Times New Roman"/>
          <w:color w:val="auto"/>
          <w:spacing w:val="0"/>
          <w:position w:val="0"/>
          <w:sz w:val="24"/>
          <w:shd w:fill="auto" w:val="clear"/>
        </w:rPr>
        <w:t xml:space="preserve">te ima vrlo brzi rast. </w:t>
      </w:r>
      <w:r>
        <w:rPr>
          <w:rFonts w:ascii="Times New Roman" w:hAnsi="Times New Roman" w:cs="Times New Roman" w:eastAsia="Times New Roman"/>
          <w:color w:val="000000"/>
          <w:spacing w:val="0"/>
          <w:position w:val="0"/>
          <w:sz w:val="24"/>
          <w:shd w:fill="auto" w:val="clear"/>
        </w:rPr>
        <w:t xml:space="preserve">Uspijeva na poluprirodnim i prirodnim staništima. Porijeklom je iz</w:t>
      </w:r>
      <w:r>
        <w:rPr>
          <w:rFonts w:ascii="Times New Roman" w:hAnsi="Times New Roman" w:cs="Times New Roman" w:eastAsia="Times New Roman"/>
          <w:b/>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Sjeverne Amerike. </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Ulja koje se nalazi u žlijezdama na mahunama može poslužiti kao biogorivo. Vrlo  je dobra medonosna biljka. </w:t>
      </w:r>
      <w:r>
        <w:rPr>
          <w:rFonts w:ascii="Times New Roman" w:hAnsi="Times New Roman" w:cs="Times New Roman" w:eastAsia="Times New Roman"/>
          <w:color w:val="auto"/>
          <w:spacing w:val="0"/>
          <w:position w:val="0"/>
          <w:sz w:val="22"/>
          <w:shd w:fill="auto" w:val="clear"/>
        </w:rPr>
        <w:t xml:space="preserve">Amorfa je veoma cijenjena medonosna vrsta te može dati 20 do 30 kg meda po košnici. </w: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Prava svilenica, cigansko perje (</w:t>
      </w:r>
      <w:r>
        <w:rPr>
          <w:rFonts w:ascii="Times New Roman" w:hAnsi="Times New Roman" w:cs="Times New Roman" w:eastAsia="Times New Roman"/>
          <w:b/>
          <w:i/>
          <w:color w:val="auto"/>
          <w:spacing w:val="0"/>
          <w:position w:val="0"/>
          <w:sz w:val="24"/>
          <w:shd w:fill="auto" w:val="clear"/>
        </w:rPr>
        <w:t xml:space="preserve">Asclepias syriaca </w:t>
      </w:r>
      <w:r>
        <w:rPr>
          <w:rFonts w:ascii="Times New Roman" w:hAnsi="Times New Roman" w:cs="Times New Roman" w:eastAsia="Times New Roman"/>
          <w:b/>
          <w:color w:val="auto"/>
          <w:spacing w:val="0"/>
          <w:position w:val="0"/>
          <w:sz w:val="24"/>
          <w:shd w:fill="auto" w:val="clear"/>
        </w:rPr>
        <w:t xml:space="preserve">L., sl. 5.)</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Višegodišnja biljka </w:t>
      </w:r>
      <w:r>
        <w:rPr>
          <w:rFonts w:ascii="Times New Roman" w:hAnsi="Times New Roman" w:cs="Times New Roman" w:eastAsia="Times New Roman"/>
          <w:color w:val="000000"/>
          <w:spacing w:val="0"/>
          <w:position w:val="0"/>
          <w:sz w:val="24"/>
          <w:shd w:fill="auto" w:val="clear"/>
        </w:rPr>
        <w:t xml:space="preserve">čija je stabljika snažna i gusto dlakava. Cvjetovi su krupni, ljubičasto crvene boje, te dolaze u bogatim cvatovima. Sjemenke su brojne, smeđe, na vrhu s čuperkom dugih, svilenastih, sjajnih dlaka poput perja. </w:t>
      </w:r>
      <w:r>
        <w:rPr>
          <w:rFonts w:ascii="Times New Roman" w:hAnsi="Times New Roman" w:cs="Times New Roman" w:eastAsia="Times New Roman"/>
          <w:color w:val="auto"/>
          <w:spacing w:val="0"/>
          <w:position w:val="0"/>
          <w:sz w:val="24"/>
          <w:shd w:fill="auto" w:val="clear"/>
        </w:rPr>
        <w:t xml:space="preserve">Biljka se razmnožava i vegetativno i sjemenom. </w:t>
      </w:r>
      <w:r>
        <w:rPr>
          <w:rFonts w:ascii="Times New Roman" w:hAnsi="Times New Roman" w:cs="Times New Roman" w:eastAsia="Times New Roman"/>
          <w:color w:val="000000"/>
          <w:spacing w:val="0"/>
          <w:position w:val="0"/>
          <w:sz w:val="24"/>
          <w:shd w:fill="auto" w:val="clear"/>
        </w:rPr>
        <w:t xml:space="preserve">Raste na ruderalnim staništima, uz nasipe, na travnjacima i uz rubove šuma, </w:t>
      </w:r>
      <w:r>
        <w:rPr>
          <w:rFonts w:ascii="Times New Roman" w:hAnsi="Times New Roman" w:cs="Times New Roman" w:eastAsia="Times New Roman"/>
          <w:color w:val="auto"/>
          <w:spacing w:val="0"/>
          <w:position w:val="0"/>
          <w:sz w:val="24"/>
          <w:shd w:fill="auto" w:val="clear"/>
        </w:rPr>
        <w:t xml:space="preserve"> uz puteve i željezničke pruge, na smetlištima, doline rijeka, riječni nasipi, polja i otvorene šume.</w:t>
      </w:r>
      <w:r>
        <w:rPr>
          <w:rFonts w:ascii="Times New Roman" w:hAnsi="Times New Roman" w:cs="Times New Roman" w:eastAsia="Times New Roman"/>
          <w:b/>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 xml:space="preserve">Biljka je vrlo medonosna. Dlake su se u drugom svjetskom ratu koristile za izradu podstava za odijela avijatičara. Cvjetove pune nektara Američki starosjedioci su koristili za zaslađivanje. Otrovna je ako se konzumiraju veće količine, a sok starije biljke može uzrokovati crvenilo na koži Biljka luči puno nektara i peluda.</w:t>
      </w:r>
    </w:p>
    <w:p>
      <w:pPr>
        <w:spacing w:before="0" w:after="200" w:line="276"/>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Gustocvjetna zlatnica, kudjelja</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Solidago canadensis</w:t>
      </w:r>
      <w:r>
        <w:rPr>
          <w:rFonts w:ascii="Times New Roman" w:hAnsi="Times New Roman" w:cs="Times New Roman" w:eastAsia="Times New Roman"/>
          <w:b/>
          <w:color w:val="auto"/>
          <w:spacing w:val="0"/>
          <w:position w:val="0"/>
          <w:sz w:val="24"/>
          <w:shd w:fill="auto" w:val="clear"/>
        </w:rPr>
        <w:t xml:space="preserve"> L., sl.6.)</w:t>
      </w:r>
    </w:p>
    <w:p>
      <w:pPr>
        <w:spacing w:before="0" w:after="200" w:line="276"/>
        <w:ind w:right="0" w:left="0" w:firstLine="0"/>
        <w:jc w:val="both"/>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Višegodišnja biljka s puze</w:t>
      </w:r>
      <w:r>
        <w:rPr>
          <w:rFonts w:ascii="Times New Roman" w:hAnsi="Times New Roman" w:cs="Times New Roman" w:eastAsia="Times New Roman"/>
          <w:color w:val="000000"/>
          <w:spacing w:val="0"/>
          <w:position w:val="0"/>
          <w:sz w:val="24"/>
          <w:shd w:fill="auto" w:val="clear"/>
        </w:rPr>
        <w:t xml:space="preserve">ćim podankom i vriježama. Stabljika je 60 do 250 cm, uspravna i pokrivena kratkim dlakama. Na vrhu stabljike razvija se veći broj savijenih grančica na kojima se razvijaju mnogobrojne cvatne glavice. Cvatne glavice sadrže veći broj zlatnožutih dvospolnih cvjetova. Cvjetovi na rubovima glavica, ako su razvijeni, su ženski i žute boje</w:t>
      </w:r>
      <w:r>
        <w:rPr>
          <w:rFonts w:ascii="Times New Roman" w:hAnsi="Times New Roman" w:cs="Times New Roman" w:eastAsia="Times New Roman"/>
          <w:color w:val="auto"/>
          <w:spacing w:val="0"/>
          <w:position w:val="0"/>
          <w:sz w:val="24"/>
          <w:shd w:fill="auto" w:val="clear"/>
        </w:rPr>
        <w:t xml:space="preserve">.  Razmnožava se vegetativno i spolno. </w:t>
      </w:r>
      <w:r>
        <w:rPr>
          <w:rFonts w:ascii="Times New Roman" w:hAnsi="Times New Roman" w:cs="Times New Roman" w:eastAsia="Times New Roman"/>
          <w:color w:val="000000"/>
          <w:spacing w:val="0"/>
          <w:position w:val="0"/>
          <w:sz w:val="24"/>
          <w:shd w:fill="auto" w:val="clear"/>
        </w:rPr>
        <w:t xml:space="preserve">Nalazi se u nizinskim šumama, na travnjacima i šumskim čistinama. Raste na ruderalnim staništima, uz kanale i vodotoke. Vrsta je podrijetlom iz Sjeverne Amerike. Prenesena je kao ukrasna i medonosna biljka u vrtovima i gradskim nasadima.</w:t>
      </w:r>
      <w:r>
        <w:rPr>
          <w:rFonts w:ascii="Comic Sans MS" w:hAnsi="Comic Sans MS" w:cs="Comic Sans MS" w:eastAsia="Comic Sans MS"/>
          <w:color w:val="auto"/>
          <w:spacing w:val="0"/>
          <w:position w:val="0"/>
          <w:sz w:val="20"/>
          <w:shd w:fill="auto" w:val="clear"/>
        </w:rPr>
        <w:t xml:space="preserve"> </w:t>
      </w: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r>
        <w:object w:dxaOrig="3968" w:dyaOrig="5284">
          <v:rect xmlns:o="urn:schemas-microsoft-com:office:office" xmlns:v="urn:schemas-microsoft-com:vml" id="rectole0000000000" style="width:198.400000pt;height:264.2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p>
    <w:p>
      <w:pPr>
        <w:spacing w:before="0" w:after="20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Slika 1. Teofrastov mra</w:t>
      </w:r>
      <w:r>
        <w:rPr>
          <w:rFonts w:ascii="Times New Roman" w:hAnsi="Times New Roman" w:cs="Times New Roman" w:eastAsia="Times New Roman"/>
          <w:b/>
          <w:color w:val="auto"/>
          <w:spacing w:val="0"/>
          <w:position w:val="0"/>
          <w:sz w:val="24"/>
          <w:shd w:fill="auto" w:val="clear"/>
        </w:rPr>
        <w:t xml:space="preserve">čnjak, Teofrastova lipica</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Abutilon theophrasti</w:t>
      </w:r>
      <w:r>
        <w:rPr>
          <w:rFonts w:ascii="Times New Roman" w:hAnsi="Times New Roman" w:cs="Times New Roman" w:eastAsia="Times New Roman"/>
          <w:b/>
          <w:color w:val="auto"/>
          <w:spacing w:val="0"/>
          <w:position w:val="0"/>
          <w:sz w:val="24"/>
          <w:shd w:fill="auto" w:val="clear"/>
        </w:rPr>
        <w:t xml:space="preserve"> Medik.)</w:t>
      </w: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r>
        <w:object w:dxaOrig="3786" w:dyaOrig="2855">
          <v:rect xmlns:o="urn:schemas-microsoft-com:office:office" xmlns:v="urn:schemas-microsoft-com:vml" id="rectole0000000001" style="width:189.300000pt;height:142.750000pt" o:preferrelative="t" o:ole="">
            <o:lock v:ext="edit"/>
            <v:imagedata xmlns:r="http://schemas.openxmlformats.org/officeDocument/2006/relationships" r:id="docRId3" o:title=""/>
          </v:rect>
          <o:OLEObject xmlns:r="http://schemas.openxmlformats.org/officeDocument/2006/relationships" xmlns:o="urn:schemas-microsoft-com:office:office" Type="Embed" ProgID="StaticMetafile" DrawAspect="Content" ObjectID="0000000001" ShapeID="rectole0000000001" r:id="docRId2"/>
        </w:object>
      </w:r>
    </w:p>
    <w:p>
      <w:pPr>
        <w:spacing w:before="0" w:after="200" w:line="240"/>
        <w:ind w:right="-20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Slika 2. Rejnoutrija</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Reynoutria japonica</w:t>
      </w:r>
      <w:r>
        <w:rPr>
          <w:rFonts w:ascii="Times New Roman" w:hAnsi="Times New Roman" w:cs="Times New Roman" w:eastAsia="Times New Roman"/>
          <w:b/>
          <w:color w:val="auto"/>
          <w:spacing w:val="0"/>
          <w:position w:val="0"/>
          <w:sz w:val="24"/>
          <w:shd w:fill="auto" w:val="clear"/>
        </w:rPr>
        <w:t xml:space="preserve"> Houtt.) </w:t>
      </w:r>
    </w:p>
    <w:p>
      <w:pPr>
        <w:spacing w:before="0" w:after="200" w:line="240"/>
        <w:ind w:right="0" w:left="0" w:firstLine="0"/>
        <w:jc w:val="left"/>
        <w:rPr>
          <w:rFonts w:ascii="Calibri" w:hAnsi="Calibri" w:cs="Calibri" w:eastAsia="Calibri"/>
          <w:b/>
          <w:color w:val="auto"/>
          <w:spacing w:val="0"/>
          <w:position w:val="0"/>
          <w:sz w:val="24"/>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r>
        <w:object w:dxaOrig="3320" w:dyaOrig="4981">
          <v:rect xmlns:o="urn:schemas-microsoft-com:office:office" xmlns:v="urn:schemas-microsoft-com:vml" id="rectole0000000002" style="width:166.000000pt;height:249.050000pt" o:preferrelative="t" o:ole="">
            <o:lock v:ext="edit"/>
            <v:imagedata xmlns:r="http://schemas.openxmlformats.org/officeDocument/2006/relationships" r:id="docRId5" o:title=""/>
          </v:rect>
          <o:OLEObject xmlns:r="http://schemas.openxmlformats.org/officeDocument/2006/relationships" xmlns:o="urn:schemas-microsoft-com:office:office" Type="Embed" ProgID="StaticMetafile" DrawAspect="Content" ObjectID="0000000002" ShapeID="rectole0000000002" r:id="docRId4"/>
        </w:objec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Slika 3. Pajasen, boga</w:t>
      </w:r>
      <w:r>
        <w:rPr>
          <w:rFonts w:ascii="Times New Roman" w:hAnsi="Times New Roman" w:cs="Times New Roman" w:eastAsia="Times New Roman"/>
          <w:b/>
          <w:color w:val="auto"/>
          <w:spacing w:val="0"/>
          <w:position w:val="0"/>
          <w:sz w:val="24"/>
          <w:shd w:fill="auto" w:val="clear"/>
        </w:rPr>
        <w:t xml:space="preserve">č, rajsko stablo</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Ailanthus altissima</w:t>
      </w:r>
      <w:r>
        <w:rPr>
          <w:rFonts w:ascii="Times New Roman" w:hAnsi="Times New Roman" w:cs="Times New Roman" w:eastAsia="Times New Roman"/>
          <w:b/>
          <w:color w:val="auto"/>
          <w:spacing w:val="0"/>
          <w:position w:val="0"/>
          <w:sz w:val="24"/>
          <w:shd w:fill="auto" w:val="clear"/>
        </w:rPr>
        <w:t xml:space="preserve"> (Mill.) Swingle)</w:t>
      </w: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r>
        <w:object w:dxaOrig="3664" w:dyaOrig="2753">
          <v:rect xmlns:o="urn:schemas-microsoft-com:office:office" xmlns:v="urn:schemas-microsoft-com:vml" id="rectole0000000003" style="width:183.200000pt;height:137.650000pt" o:preferrelative="t" o:ole="">
            <o:lock v:ext="edit"/>
            <v:imagedata xmlns:r="http://schemas.openxmlformats.org/officeDocument/2006/relationships" r:id="docRId7" o:title=""/>
          </v:rect>
          <o:OLEObject xmlns:r="http://schemas.openxmlformats.org/officeDocument/2006/relationships" xmlns:o="urn:schemas-microsoft-com:office:office" Type="Embed" ProgID="StaticMetafile" DrawAspect="Content" ObjectID="0000000003" ShapeID="rectole0000000003" r:id="docRId6"/>
        </w:object>
      </w:r>
    </w:p>
    <w:p>
      <w:pPr>
        <w:spacing w:before="0" w:after="200" w:line="276"/>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Slika 4. Amorfa, </w:t>
      </w:r>
      <w:r>
        <w:rPr>
          <w:rFonts w:ascii="Times New Roman" w:hAnsi="Times New Roman" w:cs="Times New Roman" w:eastAsia="Times New Roman"/>
          <w:b/>
          <w:color w:val="auto"/>
          <w:spacing w:val="0"/>
          <w:position w:val="0"/>
          <w:sz w:val="24"/>
          <w:shd w:fill="auto" w:val="clear"/>
        </w:rPr>
        <w:t xml:space="preserve">čivitnjača</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Amorpha fruticosa </w:t>
      </w:r>
      <w:r>
        <w:rPr>
          <w:rFonts w:ascii="Times New Roman" w:hAnsi="Times New Roman" w:cs="Times New Roman" w:eastAsia="Times New Roman"/>
          <w:b/>
          <w:color w:val="auto"/>
          <w:spacing w:val="0"/>
          <w:position w:val="0"/>
          <w:sz w:val="24"/>
          <w:shd w:fill="auto" w:val="clear"/>
        </w:rPr>
        <w:t xml:space="preserve">L.)</w:t>
      </w: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r>
        <w:object w:dxaOrig="3280" w:dyaOrig="5851">
          <v:rect xmlns:o="urn:schemas-microsoft-com:office:office" xmlns:v="urn:schemas-microsoft-com:vml" id="rectole0000000004" style="width:164.000000pt;height:292.550000pt" o:preferrelative="t" o:ole="">
            <o:lock v:ext="edit"/>
            <v:imagedata xmlns:r="http://schemas.openxmlformats.org/officeDocument/2006/relationships" r:id="docRId9" o:title=""/>
          </v:rect>
          <o:OLEObject xmlns:r="http://schemas.openxmlformats.org/officeDocument/2006/relationships" xmlns:o="urn:schemas-microsoft-com:office:office" Type="Embed" ProgID="StaticMetafile" DrawAspect="Content" ObjectID="0000000004" ShapeID="rectole0000000004" r:id="docRId8"/>
        </w:object>
      </w:r>
    </w:p>
    <w:p>
      <w:pPr>
        <w:spacing w:before="0" w:after="0" w:line="24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Slika 5. Prava svilenica, cigansko perje (</w:t>
      </w:r>
      <w:r>
        <w:rPr>
          <w:rFonts w:ascii="Times New Roman" w:hAnsi="Times New Roman" w:cs="Times New Roman" w:eastAsia="Times New Roman"/>
          <w:b/>
          <w:i/>
          <w:color w:val="auto"/>
          <w:spacing w:val="0"/>
          <w:position w:val="0"/>
          <w:sz w:val="24"/>
          <w:shd w:fill="auto" w:val="clear"/>
        </w:rPr>
        <w:t xml:space="preserve">Asclepias syriaca </w:t>
      </w:r>
      <w:r>
        <w:rPr>
          <w:rFonts w:ascii="Times New Roman" w:hAnsi="Times New Roman" w:cs="Times New Roman" w:eastAsia="Times New Roman"/>
          <w:b/>
          <w:color w:val="auto"/>
          <w:spacing w:val="0"/>
          <w:position w:val="0"/>
          <w:sz w:val="24"/>
          <w:shd w:fill="auto" w:val="clear"/>
        </w:rPr>
        <w:t xml:space="preserve">L.)</w:t>
      </w:r>
    </w:p>
    <w:p>
      <w:pPr>
        <w:spacing w:before="0" w:after="200" w:line="276"/>
        <w:ind w:right="0" w:left="0" w:firstLine="0"/>
        <w:jc w:val="both"/>
        <w:rPr>
          <w:rFonts w:ascii="Times New Roman" w:hAnsi="Times New Roman" w:cs="Times New Roman" w:eastAsia="Times New Roman"/>
          <w:b/>
          <w:color w:val="auto"/>
          <w:spacing w:val="0"/>
          <w:position w:val="0"/>
          <w:sz w:val="24"/>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r>
        <w:object w:dxaOrig="3441" w:dyaOrig="4596">
          <v:rect xmlns:o="urn:schemas-microsoft-com:office:office" xmlns:v="urn:schemas-microsoft-com:vml" id="rectole0000000005" style="width:172.050000pt;height:229.800000pt" o:preferrelative="t" o:ole="">
            <o:lock v:ext="edit"/>
            <v:imagedata xmlns:r="http://schemas.openxmlformats.org/officeDocument/2006/relationships" r:id="docRId11" o:title=""/>
          </v:rect>
          <o:OLEObject xmlns:r="http://schemas.openxmlformats.org/officeDocument/2006/relationships" xmlns:o="urn:schemas-microsoft-com:office:office" Type="Embed" ProgID="StaticMetafile" DrawAspect="Content" ObjectID="0000000005" ShapeID="rectole0000000005" r:id="docRId10"/>
        </w:object>
      </w:r>
    </w:p>
    <w:p>
      <w:pPr>
        <w:spacing w:before="0" w:after="200" w:line="276"/>
        <w:ind w:right="0" w:left="0" w:firstLine="0"/>
        <w:jc w:val="both"/>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Slika 6. Gustocvjetna zlatnica, kudjelja</w:t>
      </w:r>
      <w:r>
        <w:rPr>
          <w:rFonts w:ascii="Times New Roman" w:hAnsi="Times New Roman" w:cs="Times New Roman" w:eastAsia="Times New Roman"/>
          <w:b/>
          <w:i/>
          <w:color w:val="auto"/>
          <w:spacing w:val="0"/>
          <w:position w:val="0"/>
          <w:sz w:val="24"/>
          <w:shd w:fill="auto" w:val="clear"/>
        </w:rPr>
        <w:t xml:space="preserve"> </w:t>
      </w:r>
      <w:r>
        <w:rPr>
          <w:rFonts w:ascii="Times New Roman" w:hAnsi="Times New Roman" w:cs="Times New Roman" w:eastAsia="Times New Roman"/>
          <w:b/>
          <w:color w:val="auto"/>
          <w:spacing w:val="0"/>
          <w:position w:val="0"/>
          <w:sz w:val="24"/>
          <w:shd w:fill="auto" w:val="clear"/>
        </w:rPr>
        <w:t xml:space="preserve">(</w:t>
      </w:r>
      <w:r>
        <w:rPr>
          <w:rFonts w:ascii="Times New Roman" w:hAnsi="Times New Roman" w:cs="Times New Roman" w:eastAsia="Times New Roman"/>
          <w:b/>
          <w:i/>
          <w:color w:val="auto"/>
          <w:spacing w:val="0"/>
          <w:position w:val="0"/>
          <w:sz w:val="24"/>
          <w:shd w:fill="auto" w:val="clear"/>
        </w:rPr>
        <w:t xml:space="preserve">Solidago canadensis</w:t>
      </w:r>
      <w:r>
        <w:rPr>
          <w:rFonts w:ascii="Times New Roman" w:hAnsi="Times New Roman" w:cs="Times New Roman" w:eastAsia="Times New Roman"/>
          <w:b/>
          <w:color w:val="auto"/>
          <w:spacing w:val="0"/>
          <w:position w:val="0"/>
          <w:sz w:val="24"/>
          <w:shd w:fill="auto" w:val="clear"/>
        </w:rPr>
        <w:t xml:space="preserve"> L.)</w:t>
      </w:r>
    </w:p>
    <w:p>
      <w:pPr>
        <w:spacing w:before="0" w:after="200" w:line="240"/>
        <w:ind w:right="0" w:left="0" w:firstLine="0"/>
        <w:jc w:val="both"/>
        <w:rPr>
          <w:rFonts w:ascii="Times New Roman" w:hAnsi="Times New Roman" w:cs="Times New Roman" w:eastAsia="Times New Roman"/>
          <w:b/>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styles.xml" Id="docRId13" Type="http://schemas.openxmlformats.org/officeDocument/2006/relationships/styles"/><Relationship Target="media/image1.wmf" Id="docRId3" Type="http://schemas.openxmlformats.org/officeDocument/2006/relationships/image"/><Relationship Target="media/image3.wmf" Id="docRId7" Type="http://schemas.openxmlformats.org/officeDocument/2006/relationships/image"/><Relationship Target="embeddings/oleObject5.bin" Id="docRId10" Type="http://schemas.openxmlformats.org/officeDocument/2006/relationships/oleObject"/><Relationship Target="embeddings/oleObject1.bin" Id="docRId2" Type="http://schemas.openxmlformats.org/officeDocument/2006/relationships/oleObject"/><Relationship Target="embeddings/oleObject3.bin" Id="docRId6" Type="http://schemas.openxmlformats.org/officeDocument/2006/relationships/oleObject"/><Relationship Target="media/image0.wmf" Id="docRId1" Type="http://schemas.openxmlformats.org/officeDocument/2006/relationships/image"/><Relationship Target="media/image5.wmf" Id="docRId11" Type="http://schemas.openxmlformats.org/officeDocument/2006/relationships/image"/><Relationship Target="media/image2.wmf" Id="docRId5" Type="http://schemas.openxmlformats.org/officeDocument/2006/relationships/image"/><Relationship Target="media/image4.wmf" Id="docRId9" Type="http://schemas.openxmlformats.org/officeDocument/2006/relationships/image"/><Relationship Target="embeddings/oleObject0.bin" Id="docRId0" Type="http://schemas.openxmlformats.org/officeDocument/2006/relationships/oleObject"/><Relationship Target="numbering.xml" Id="docRId12" Type="http://schemas.openxmlformats.org/officeDocument/2006/relationships/numbering"/><Relationship Target="embeddings/oleObject2.bin" Id="docRId4" Type="http://schemas.openxmlformats.org/officeDocument/2006/relationships/oleObject"/><Relationship Target="embeddings/oleObject4.bin" Id="docRId8" Type="http://schemas.openxmlformats.org/officeDocument/2006/relationships/oleObject"/></Relationships>
</file>